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1F2E36">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1F2E36">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1F2E36">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1F2E36">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1F2E36">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1F2E36">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1F2E36">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1F2E36">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1F2E36">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1F2E36">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1F2E36">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1F2E36">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1F2E36">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1F2E36">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1F2E36">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1F2E36">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1F2E36">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1F2E36">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1F2E36">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5961904E" w14:textId="77777777" w:rsidR="00D979AF" w:rsidRPr="008829BC" w:rsidRDefault="00D979AF" w:rsidP="005B1F1F">
      <w:pPr>
        <w:pStyle w:val="a1"/>
        <w:keepNext/>
        <w:keepLines/>
        <w:numPr>
          <w:ilvl w:val="0"/>
          <w:numId w:val="0"/>
        </w:numPr>
        <w:suppressLineNumbers/>
        <w:spacing w:before="0" w:line="240" w:lineRule="atLeast"/>
        <w:contextualSpacing/>
        <w:rPr>
          <w:color w:val="FF0000"/>
          <w:sz w:val="40"/>
        </w:rPr>
      </w:pPr>
      <w:r w:rsidRPr="008829BC">
        <w:rPr>
          <w:color w:val="FF0000"/>
          <w:sz w:val="40"/>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w:t>
      </w:r>
      <w:r w:rsidRPr="008829BC">
        <w:rPr>
          <w:b/>
          <w:color w:val="FF0000"/>
          <w:sz w:val="40"/>
          <w:u w:val="single"/>
        </w:rPr>
        <w:t>обязательных</w:t>
      </w:r>
      <w:r w:rsidRPr="008829BC">
        <w:rPr>
          <w:color w:val="FF0000"/>
          <w:sz w:val="40"/>
        </w:rPr>
        <w:t xml:space="preserve"> документов, входящих в каждую из частей, приведен ниже. </w:t>
      </w:r>
    </w:p>
    <w:p w14:paraId="0EE9E0EC" w14:textId="77777777" w:rsidR="00D979AF" w:rsidRPr="002467F3" w:rsidRDefault="00D979AF" w:rsidP="005B1F1F">
      <w:pPr>
        <w:pStyle w:val="a1"/>
        <w:keepNext/>
        <w:keepLines/>
        <w:numPr>
          <w:ilvl w:val="0"/>
          <w:numId w:val="0"/>
        </w:numPr>
        <w:suppressLineNumbers/>
        <w:spacing w:before="0" w:line="240" w:lineRule="atLeast"/>
        <w:contextualSpacing/>
        <w:rPr>
          <w:sz w:val="40"/>
        </w:rPr>
      </w:pPr>
    </w:p>
    <w:p w14:paraId="3D667661" w14:textId="77777777" w:rsidR="00D979AF" w:rsidRDefault="00D979AF" w:rsidP="00D979AF">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вправе вложить в каждую из </w:t>
      </w:r>
      <w:r>
        <w:rPr>
          <w:sz w:val="40"/>
        </w:rPr>
        <w:t xml:space="preserve">папок </w:t>
      </w:r>
      <w:r w:rsidRPr="002467F3">
        <w:rPr>
          <w:sz w:val="40"/>
        </w:rPr>
        <w:t xml:space="preserve">заявки дополнительные документы, отражающие суть заявки, при </w:t>
      </w:r>
      <w:r>
        <w:rPr>
          <w:sz w:val="40"/>
        </w:rPr>
        <w:t>соблюдении следующих требований.</w:t>
      </w:r>
    </w:p>
    <w:p w14:paraId="1ED84D5E" w14:textId="4CB33FA5" w:rsidR="00D979AF" w:rsidRDefault="00D979AF" w:rsidP="00D979AF">
      <w:pPr>
        <w:pStyle w:val="a1"/>
        <w:keepNext/>
        <w:keepLines/>
        <w:numPr>
          <w:ilvl w:val="0"/>
          <w:numId w:val="0"/>
        </w:numPr>
        <w:suppressLineNumbers/>
        <w:spacing w:before="0" w:line="240" w:lineRule="atLeast"/>
        <w:contextualSpacing/>
        <w:rPr>
          <w:sz w:val="40"/>
        </w:rPr>
      </w:pPr>
      <w:r>
        <w:rPr>
          <w:sz w:val="40"/>
        </w:rPr>
        <w:br w:type="page"/>
      </w:r>
    </w:p>
    <w:p w14:paraId="139D8253" w14:textId="77777777" w:rsidR="00D979AF"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t xml:space="preserve">№ </w:t>
            </w:r>
            <w:proofErr w:type="gramStart"/>
            <w:r w:rsidRPr="00713578">
              <w:rPr>
                <w:bCs/>
                <w:sz w:val="24"/>
                <w:szCs w:val="24"/>
              </w:rPr>
              <w:t>п</w:t>
            </w:r>
            <w:proofErr w:type="gramEnd"/>
            <w:r w:rsidRPr="00713578">
              <w:rPr>
                <w:bCs/>
                <w:sz w:val="24"/>
                <w:szCs w:val="24"/>
              </w:rPr>
              <w:t>/п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713578" w:rsidRDefault="00D979AF"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r w:rsidR="007E1AF6" w:rsidRPr="00D979AF">
              <w:rPr>
                <w:rFonts w:eastAsiaTheme="majorEastAsia"/>
                <w:b/>
                <w:bCs/>
                <w:color w:val="FF0000"/>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713578" w:rsidRDefault="00D979AF" w:rsidP="007E1AF6">
            <w:pPr>
              <w:keepNext/>
              <w:keepLines/>
              <w:suppressLineNumbers/>
              <w:spacing w:before="0" w:line="240" w:lineRule="atLeast"/>
              <w:contextualSpacing/>
              <w:rPr>
                <w:b/>
                <w:bCs/>
                <w:sz w:val="24"/>
                <w:szCs w:val="24"/>
              </w:rPr>
            </w:pPr>
            <w:r w:rsidRPr="00D979AF">
              <w:rPr>
                <w:rFonts w:eastAsiaTheme="majorEastAsia"/>
                <w:b/>
                <w:bCs/>
                <w:color w:val="FF0000"/>
                <w:sz w:val="24"/>
                <w:szCs w:val="24"/>
                <w:lang w:val="ru"/>
              </w:rPr>
              <w:t>Вторая папка</w:t>
            </w:r>
            <w:r w:rsidR="007E1AF6" w:rsidRPr="00D979AF">
              <w:rPr>
                <w:rFonts w:eastAsiaTheme="majorEastAsia"/>
                <w:b/>
                <w:bCs/>
                <w:color w:val="FF0000"/>
                <w:sz w:val="24"/>
                <w:szCs w:val="24"/>
                <w:lang w:val="ru"/>
              </w:rPr>
              <w:t xml:space="preserve">: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3AD20BD4" w:rsidR="007E1AF6" w:rsidRPr="00713578" w:rsidRDefault="00614BC2" w:rsidP="00390243">
            <w:pPr>
              <w:keepNext/>
              <w:keepLines/>
              <w:suppressLineNumbers/>
              <w:spacing w:before="0" w:line="240" w:lineRule="atLeast"/>
              <w:contextualSpacing/>
              <w:rPr>
                <w:b/>
                <w:bCs/>
                <w:sz w:val="24"/>
                <w:szCs w:val="24"/>
              </w:rPr>
            </w:pPr>
            <w:proofErr w:type="gramStart"/>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D979AF">
              <w:rPr>
                <w:sz w:val="24"/>
                <w:szCs w:val="24"/>
              </w:rPr>
              <w:t xml:space="preserve"> </w:t>
            </w:r>
            <w:r w:rsidR="00390243">
              <w:rPr>
                <w:sz w:val="24"/>
                <w:szCs w:val="24"/>
              </w:rPr>
              <w:t xml:space="preserve">и </w:t>
            </w:r>
            <w:r w:rsidR="00390243" w:rsidRPr="00390243">
              <w:rPr>
                <w:sz w:val="24"/>
                <w:szCs w:val="24"/>
              </w:rPr>
              <w:t>«PDF»).</w:t>
            </w:r>
            <w:proofErr w:type="gramEnd"/>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proofErr w:type="gramStart"/>
            <w:r w:rsidR="00000820" w:rsidRPr="00713578">
              <w:rPr>
                <w:sz w:val="24"/>
                <w:szCs w:val="24"/>
              </w:rPr>
              <w:t>4</w:t>
            </w:r>
            <w:r>
              <w:rPr>
                <w:sz w:val="24"/>
                <w:szCs w:val="24"/>
              </w:rPr>
              <w:t>.1</w:t>
            </w:r>
            <w:proofErr w:type="gramEnd"/>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72C06E9C" w:rsidR="007E1AF6" w:rsidRPr="00713578" w:rsidRDefault="00000820" w:rsidP="00F27D2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F362F1">
              <w:rPr>
                <w:sz w:val="24"/>
                <w:szCs w:val="24"/>
              </w:rPr>
              <w:t>м отбора согласно Приложению 4</w:t>
            </w:r>
            <w:r w:rsidRPr="00713578">
              <w:rPr>
                <w:sz w:val="24"/>
                <w:szCs w:val="24"/>
              </w:rPr>
              <w:t>. с приложением требуемых по тексту документов</w:t>
            </w:r>
            <w:r w:rsidR="00F27D29">
              <w:t xml:space="preserve"> </w:t>
            </w:r>
            <w:r w:rsidR="00F27D29" w:rsidRPr="00F27D29">
              <w:rPr>
                <w:sz w:val="24"/>
                <w:szCs w:val="24"/>
              </w:rPr>
              <w:t xml:space="preserve">(один экземпляр в формате «EXCEL» </w:t>
            </w:r>
            <w:r w:rsidR="00F27D29">
              <w:rPr>
                <w:sz w:val="24"/>
                <w:szCs w:val="24"/>
              </w:rPr>
              <w:t>/ «</w:t>
            </w:r>
            <w:r w:rsidR="00F27D29">
              <w:rPr>
                <w:sz w:val="24"/>
                <w:szCs w:val="24"/>
                <w:lang w:val="en-US"/>
              </w:rPr>
              <w:t>Word</w:t>
            </w:r>
            <w:r w:rsidR="00F27D29">
              <w:rPr>
                <w:sz w:val="24"/>
                <w:szCs w:val="24"/>
              </w:rPr>
              <w:t>»</w:t>
            </w:r>
            <w:r w:rsidR="00F27D29" w:rsidRPr="00F27D29">
              <w:rPr>
                <w:sz w:val="24"/>
                <w:szCs w:val="24"/>
              </w:rPr>
              <w:t xml:space="preserve"> и один экземпляр в формате «PDF»)</w:t>
            </w:r>
            <w:r w:rsidR="00F27D29">
              <w:rPr>
                <w:sz w:val="24"/>
                <w:szCs w:val="24"/>
              </w:rPr>
              <w:t>,</w:t>
            </w:r>
            <w:r w:rsidR="00F27D29" w:rsidRPr="00F27D29">
              <w:rPr>
                <w:sz w:val="24"/>
                <w:szCs w:val="24"/>
              </w:rPr>
              <w:t xml:space="preserve"> </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4DCA2F35" w:rsidR="007E1AF6" w:rsidRPr="00713578" w:rsidRDefault="00257AE6" w:rsidP="007E1AF6">
            <w:pPr>
              <w:keepNext/>
              <w:keepLines/>
              <w:suppressLineNumbers/>
              <w:spacing w:before="0" w:line="240" w:lineRule="atLeast"/>
              <w:contextualSpacing/>
              <w:jc w:val="left"/>
              <w:rPr>
                <w:bCs/>
                <w:iCs/>
                <w:sz w:val="24"/>
                <w:szCs w:val="24"/>
              </w:rPr>
            </w:pPr>
            <w:r w:rsidRPr="00257AE6">
              <w:rPr>
                <w:rFonts w:eastAsiaTheme="majorEastAsia"/>
                <w:b/>
                <w:bCs/>
                <w:color w:val="FF0000"/>
                <w:sz w:val="24"/>
                <w:szCs w:val="24"/>
                <w:lang w:val="ru"/>
              </w:rPr>
              <w:t>Третья папк</w:t>
            </w:r>
            <w:proofErr w:type="gramStart"/>
            <w:r w:rsidRPr="00257AE6">
              <w:rPr>
                <w:rFonts w:eastAsiaTheme="majorEastAsia"/>
                <w:b/>
                <w:bCs/>
                <w:color w:val="FF0000"/>
                <w:sz w:val="24"/>
                <w:szCs w:val="24"/>
                <w:lang w:val="ru"/>
              </w:rPr>
              <w:t>а-</w:t>
            </w:r>
            <w:proofErr w:type="gramEnd"/>
            <w:r w:rsidRPr="00257AE6">
              <w:rPr>
                <w:rFonts w:eastAsiaTheme="majorEastAsia"/>
                <w:b/>
                <w:bCs/>
                <w:color w:val="FF0000"/>
                <w:sz w:val="24"/>
                <w:szCs w:val="24"/>
                <w:lang w:val="ru"/>
              </w:rPr>
              <w:t xml:space="preserve"> 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9EB9D29" w:rsidR="00E30C94" w:rsidRPr="00257AE6" w:rsidRDefault="00257AE6" w:rsidP="00A103B5">
            <w:pPr>
              <w:keepNext/>
              <w:keepLines/>
              <w:suppressLineNumbers/>
              <w:spacing w:before="0" w:line="240" w:lineRule="atLeast"/>
              <w:contextualSpacing/>
              <w:rPr>
                <w:b/>
                <w:sz w:val="24"/>
                <w:szCs w:val="24"/>
              </w:rPr>
            </w:pPr>
            <w:r w:rsidRPr="00257AE6">
              <w:rPr>
                <w:b/>
                <w:color w:val="FF0000"/>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proofErr w:type="gramStart"/>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0598E831" w14:textId="77777777" w:rsidR="00257AE6" w:rsidRDefault="00C22E8E" w:rsidP="00257AE6">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504851ED" w14:textId="561043C4" w:rsidR="00257AE6" w:rsidRPr="00257AE6" w:rsidRDefault="00257AE6" w:rsidP="00257AE6">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w:t>
      </w:r>
      <w:proofErr w:type="gramStart"/>
      <w:r w:rsidRPr="00713578">
        <w:rPr>
          <w:sz w:val="24"/>
          <w:szCs w:val="24"/>
        </w:rPr>
        <w:t>на</w:t>
      </w:r>
      <w:proofErr w:type="gramEnd"/>
      <w:r w:rsidRPr="00713578">
        <w:rPr>
          <w:sz w:val="24"/>
          <w:szCs w:val="24"/>
        </w:rPr>
        <w:t>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w:t>
            </w:r>
            <w:proofErr w:type="gramStart"/>
            <w:r w:rsidRPr="00713578">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roofErr w:type="gramEnd"/>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w:t>
      </w:r>
      <w:proofErr w:type="gramStart"/>
      <w:r w:rsidRPr="00713578">
        <w:rPr>
          <w:sz w:val="24"/>
          <w:szCs w:val="24"/>
        </w:rPr>
        <w:t>согласно</w:t>
      </w:r>
      <w:proofErr w:type="gramEnd"/>
      <w:r w:rsidRPr="00713578">
        <w:rPr>
          <w:sz w:val="24"/>
          <w:szCs w:val="24"/>
        </w:rPr>
        <w:t xml:space="preserve">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proofErr w:type="gramStart"/>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roofErr w:type="gramEnd"/>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13578">
        <w:rPr>
          <w:sz w:val="24"/>
          <w:szCs w:val="24"/>
        </w:rPr>
        <w:t>уполномочен</w:t>
      </w:r>
      <w:proofErr w:type="gramEnd"/>
      <w:r w:rsidRPr="00713578">
        <w:rPr>
          <w:sz w:val="24"/>
          <w:szCs w:val="24"/>
        </w:rPr>
        <w:t xml:space="preserve">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w:t>
      </w:r>
      <w:proofErr w:type="gramStart"/>
      <w:r w:rsidRPr="00037114">
        <w:rPr>
          <w:sz w:val="24"/>
          <w:szCs w:val="24"/>
        </w:rPr>
        <w:t>г</w:t>
      </w:r>
      <w:proofErr w:type="gramEnd"/>
      <w:r w:rsidRPr="00037114">
        <w:rPr>
          <w:sz w:val="24"/>
          <w:szCs w:val="24"/>
        </w:rPr>
        <w:t>.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xml:space="preserve">№ </w:t>
            </w:r>
            <w:proofErr w:type="gramStart"/>
            <w:r w:rsidRPr="00713578">
              <w:rPr>
                <w:sz w:val="24"/>
                <w:szCs w:val="24"/>
              </w:rPr>
              <w:t>п</w:t>
            </w:r>
            <w:proofErr w:type="gramEnd"/>
            <w:r w:rsidRPr="0071357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D81D1E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w:t>
      </w:r>
      <w:r w:rsidR="001F2E36">
        <w:rPr>
          <w:rStyle w:val="afa"/>
          <w:b w:val="0"/>
          <w:sz w:val="24"/>
          <w:szCs w:val="24"/>
          <w:shd w:val="clear" w:color="auto" w:fill="BFBFBF" w:themeFill="background1" w:themeFillShade="BF"/>
        </w:rPr>
        <w:t xml:space="preserve">хническое предложение </w:t>
      </w:r>
      <w:r w:rsidR="00C9558F">
        <w:rPr>
          <w:rStyle w:val="afa"/>
          <w:b w:val="0"/>
          <w:sz w:val="24"/>
          <w:szCs w:val="24"/>
          <w:shd w:val="clear" w:color="auto" w:fill="BFBFBF" w:themeFill="background1" w:themeFillShade="BF"/>
        </w:rPr>
        <w:t>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 xml:space="preserve">должен указать номер закупки, номер и предмет лота, соответствующие </w:t>
      </w:r>
      <w:proofErr w:type="gramStart"/>
      <w:r w:rsidR="00C9558F" w:rsidRPr="00C9558F">
        <w:rPr>
          <w:sz w:val="24"/>
          <w:szCs w:val="24"/>
        </w:rPr>
        <w:t>указанным</w:t>
      </w:r>
      <w:proofErr w:type="gramEnd"/>
      <w:r w:rsidR="00C9558F" w:rsidRPr="00C9558F">
        <w:rPr>
          <w:sz w:val="24"/>
          <w:szCs w:val="24"/>
        </w:rPr>
        <w:t xml:space="preserve">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bookmarkStart w:id="40" w:name="_GoBack"/>
      <w:bookmarkEnd w:id="40"/>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w:t>
            </w:r>
            <w:proofErr w:type="gramStart"/>
            <w:r w:rsidRPr="00713578">
              <w:rPr>
                <w:b/>
                <w:sz w:val="24"/>
                <w:szCs w:val="24"/>
              </w:rPr>
              <w:t>п</w:t>
            </w:r>
            <w:proofErr w:type="gramEnd"/>
            <w:r w:rsidRPr="00713578">
              <w:rPr>
                <w:b/>
                <w:sz w:val="24"/>
                <w:szCs w:val="24"/>
              </w:rPr>
              <w:t xml:space="preserve">/п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lastRenderedPageBreak/>
              <w:t>предоставлен</w:t>
            </w:r>
            <w:proofErr w:type="gramEnd"/>
            <w:r w:rsidRPr="00713578">
              <w:rPr>
                <w:sz w:val="24"/>
                <w:szCs w:val="24"/>
              </w:rPr>
              <w:t>/не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proofErr w:type="gramStart"/>
            <w:r w:rsidRPr="00713578">
              <w:rPr>
                <w:i/>
                <w:sz w:val="24"/>
                <w:szCs w:val="24"/>
              </w:rPr>
              <w:t>C</w:t>
            </w:r>
            <w:proofErr w:type="gramEnd"/>
            <w:r w:rsidRPr="00713578">
              <w:rPr>
                <w:i/>
                <w:sz w:val="24"/>
                <w:szCs w:val="24"/>
              </w:rPr>
              <w:t>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proofErr w:type="gramStart"/>
            <w:r w:rsidRPr="00713578">
              <w:rPr>
                <w:sz w:val="24"/>
                <w:szCs w:val="24"/>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proofErr w:type="gramStart"/>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 xml:space="preserve">Документы, </w:t>
            </w:r>
            <w:proofErr w:type="gramStart"/>
            <w:r w:rsidRPr="00713578">
              <w:rPr>
                <w:sz w:val="24"/>
                <w:szCs w:val="24"/>
              </w:rPr>
              <w:t>подтверждающие</w:t>
            </w:r>
            <w:proofErr w:type="gramEnd"/>
            <w:r w:rsidRPr="00713578">
              <w:rPr>
                <w:sz w:val="24"/>
                <w:szCs w:val="24"/>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75406D" w:rsidRPr="00713578" w14:paraId="79210DB3" w14:textId="77777777" w:rsidTr="008834FB">
        <w:tc>
          <w:tcPr>
            <w:tcW w:w="1336" w:type="dxa"/>
          </w:tcPr>
          <w:p w14:paraId="26F65CEE" w14:textId="6E7E7B1D" w:rsidR="0075406D" w:rsidRPr="00713578" w:rsidRDefault="0075406D" w:rsidP="0075406D">
            <w:pPr>
              <w:numPr>
                <w:ilvl w:val="0"/>
                <w:numId w:val="19"/>
              </w:numPr>
              <w:spacing w:before="0"/>
              <w:rPr>
                <w:sz w:val="24"/>
                <w:szCs w:val="24"/>
              </w:rPr>
            </w:pPr>
          </w:p>
        </w:tc>
        <w:tc>
          <w:tcPr>
            <w:tcW w:w="5604" w:type="dxa"/>
          </w:tcPr>
          <w:p w14:paraId="5457E882" w14:textId="653078ED" w:rsidR="0075406D" w:rsidRPr="00713578" w:rsidRDefault="0075406D" w:rsidP="0075406D">
            <w:pPr>
              <w:rPr>
                <w:sz w:val="24"/>
                <w:szCs w:val="24"/>
              </w:rPr>
            </w:pPr>
            <w:r>
              <w:rPr>
                <w:sz w:val="24"/>
                <w:szCs w:val="24"/>
              </w:rPr>
              <w:t>Наличие технических ресурсов</w:t>
            </w:r>
          </w:p>
        </w:tc>
        <w:tc>
          <w:tcPr>
            <w:tcW w:w="3374" w:type="dxa"/>
          </w:tcPr>
          <w:p w14:paraId="4B7F9918" w14:textId="0F9BFE7B" w:rsidR="0075406D" w:rsidRDefault="0075406D" w:rsidP="0075406D">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7827048C"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5E2352">
        <w:rPr>
          <w:b/>
          <w:sz w:val="22"/>
          <w:szCs w:val="22"/>
        </w:rPr>
        <w:t xml:space="preserve"> за последние 2</w:t>
      </w:r>
      <w:r w:rsidR="00713578" w:rsidRPr="00713578">
        <w:rPr>
          <w:b/>
          <w:sz w:val="22"/>
          <w:szCs w:val="22"/>
        </w:rPr>
        <w:t xml:space="preserve">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 </w:t>
            </w:r>
            <w:proofErr w:type="gramStart"/>
            <w:r w:rsidRPr="00713578">
              <w:rPr>
                <w:sz w:val="24"/>
                <w:szCs w:val="24"/>
              </w:rPr>
              <w:t>п</w:t>
            </w:r>
            <w:proofErr w:type="gramEnd"/>
            <w:r w:rsidRPr="00713578">
              <w:rPr>
                <w:sz w:val="24"/>
                <w:szCs w:val="24"/>
              </w:rPr>
              <w:t>/п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w:t>
            </w:r>
            <w:proofErr w:type="gramStart"/>
            <w:r w:rsidRPr="00713578">
              <w:rPr>
                <w:sz w:val="24"/>
                <w:szCs w:val="24"/>
              </w:rPr>
              <w:t>есть</w:t>
            </w:r>
            <w:proofErr w:type="gramEnd"/>
            <w:r w:rsidRPr="00713578">
              <w:rPr>
                <w:sz w:val="24"/>
                <w:szCs w:val="24"/>
              </w:rPr>
              <w:t>/нет)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proofErr w:type="gramStart"/>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w:t>
      </w:r>
      <w:proofErr w:type="gramEnd"/>
      <w:r w:rsidRPr="00713578">
        <w:rPr>
          <w:i/>
          <w:sz w:val="24"/>
          <w:szCs w:val="24"/>
          <w:highlight w:val="lightGray"/>
          <w:shd w:val="clear" w:color="auto" w:fill="BFBFBF" w:themeFill="background1" w:themeFillShade="BF"/>
        </w:rPr>
        <w:t xml:space="preserve"> </w:t>
      </w:r>
      <w:proofErr w:type="gramStart"/>
      <w:r w:rsidRPr="00713578">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roofErr w:type="gramEnd"/>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w:t>
      </w:r>
      <w:proofErr w:type="gramStart"/>
      <w:r w:rsidRPr="00713578">
        <w:rPr>
          <w:sz w:val="24"/>
          <w:szCs w:val="24"/>
        </w:rPr>
        <w:t xml:space="preserve">Представленные в данной Справке сведения должны подтверждать опыт, установленный в </w:t>
      </w:r>
      <w:r w:rsidR="008558AB">
        <w:rPr>
          <w:sz w:val="24"/>
          <w:szCs w:val="24"/>
        </w:rPr>
        <w:t>критериями отбора (Приложение 4.2.</w:t>
      </w:r>
      <w:proofErr w:type="gramEnd"/>
      <w:r w:rsidR="008558AB">
        <w:rPr>
          <w:sz w:val="24"/>
          <w:szCs w:val="24"/>
        </w:rPr>
        <w:t xml:space="preserve"> </w:t>
      </w:r>
      <w:proofErr w:type="gramStart"/>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roofErr w:type="gramEnd"/>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proofErr w:type="gramStart"/>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критериями отбора (Приложение 4.2.</w:t>
      </w:r>
      <w:proofErr w:type="gramEnd"/>
      <w:r w:rsidR="008558AB">
        <w:rPr>
          <w:sz w:val="24"/>
          <w:szCs w:val="24"/>
        </w:rPr>
        <w:t xml:space="preserve"> </w:t>
      </w:r>
      <w:proofErr w:type="gramStart"/>
      <w:r w:rsidR="008558AB" w:rsidRPr="00713578">
        <w:rPr>
          <w:sz w:val="24"/>
          <w:szCs w:val="24"/>
        </w:rPr>
        <w:t>Документации о закупке)</w:t>
      </w:r>
      <w:r w:rsidR="008558AB">
        <w:rPr>
          <w:sz w:val="24"/>
          <w:szCs w:val="24"/>
        </w:rPr>
        <w:t>.</w:t>
      </w:r>
      <w:proofErr w:type="gramEnd"/>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proofErr w:type="gramStart"/>
            <w:r w:rsidRPr="00713578">
              <w:rPr>
                <w:sz w:val="24"/>
                <w:szCs w:val="24"/>
              </w:rPr>
              <w:t>п</w:t>
            </w:r>
            <w:proofErr w:type="gramEnd"/>
            <w:r w:rsidRPr="00713578">
              <w:rPr>
                <w:sz w:val="24"/>
                <w:szCs w:val="24"/>
              </w:rPr>
              <w:t>/п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proofErr w:type="gramStart"/>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proofErr w:type="gramEnd"/>
            <w:r w:rsidR="008558AB">
              <w:rPr>
                <w:i/>
                <w:sz w:val="24"/>
                <w:szCs w:val="24"/>
                <w:shd w:val="clear" w:color="auto" w:fill="BFBFBF" w:themeFill="background1" w:themeFillShade="BF"/>
              </w:rPr>
              <w:t xml:space="preserve"> </w:t>
            </w:r>
            <w:proofErr w:type="gramStart"/>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roofErr w:type="gramEnd"/>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502ABB41"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w:t>
      </w:r>
      <w:r w:rsidR="008558AB" w:rsidRPr="00257AE6">
        <w:rPr>
          <w:color w:val="FF0000"/>
          <w:sz w:val="24"/>
          <w:szCs w:val="24"/>
        </w:rPr>
        <w:t xml:space="preserve">Приложение № 4.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proofErr w:type="gramStart"/>
            <w:r w:rsidRPr="00713578">
              <w:rPr>
                <w:sz w:val="24"/>
                <w:szCs w:val="24"/>
              </w:rPr>
              <w:t>п</w:t>
            </w:r>
            <w:proofErr w:type="gramEnd"/>
            <w:r w:rsidRPr="00713578">
              <w:rPr>
                <w:sz w:val="24"/>
                <w:szCs w:val="24"/>
              </w:rPr>
              <w:t>/п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proofErr w:type="gramStart"/>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w:t>
            </w:r>
            <w:proofErr w:type="gramEnd"/>
            <w:r w:rsidR="008558AB">
              <w:rPr>
                <w:i/>
                <w:sz w:val="24"/>
                <w:szCs w:val="24"/>
                <w:highlight w:val="lightGray"/>
                <w:shd w:val="clear" w:color="auto" w:fill="BFBFBF" w:themeFill="background1" w:themeFillShade="BF"/>
              </w:rPr>
              <w:t xml:space="preserve"> </w:t>
            </w:r>
            <w:proofErr w:type="gramStart"/>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roofErr w:type="gramEnd"/>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proofErr w:type="gramStart"/>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roofErr w:type="gramEnd"/>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2E3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2E36">
      <w:rPr>
        <w:i/>
        <w:noProof/>
        <w:sz w:val="24"/>
        <w:szCs w:val="24"/>
      </w:rPr>
      <w:t>22</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2E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2E36">
      <w:rPr>
        <w:i/>
        <w:noProof/>
        <w:sz w:val="24"/>
        <w:szCs w:val="24"/>
      </w:rPr>
      <w:t>22</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4E7053" w:rsidRDefault="004E7053"/>
    <w:p w14:paraId="21B42A20" w14:textId="19CE1679" w:rsidR="004E7053" w:rsidRDefault="004E7053">
      <w:pPr>
        <w:pStyle w:val="af0"/>
      </w:pPr>
    </w:p>
  </w:footnote>
  <w:footnote w:id="3">
    <w:p w14:paraId="5FE8895B" w14:textId="77777777" w:rsidR="004E7053" w:rsidRDefault="004E7053"/>
    <w:p w14:paraId="1AD0229D" w14:textId="2D648CB8" w:rsidR="004E7053" w:rsidRDefault="004E7053">
      <w:pPr>
        <w:pStyle w:val="af0"/>
      </w:pPr>
    </w:p>
  </w:footnote>
  <w:footnote w:id="4">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662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2E36"/>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10B82-CEDF-42D9-B92F-DD506A11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22</Pages>
  <Words>3220</Words>
  <Characters>24642</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134</cp:revision>
  <cp:lastPrinted>2019-02-15T08:17:00Z</cp:lastPrinted>
  <dcterms:created xsi:type="dcterms:W3CDTF">2019-01-30T12:15:00Z</dcterms:created>
  <dcterms:modified xsi:type="dcterms:W3CDTF">2020-06-08T12:58:00Z</dcterms:modified>
</cp:coreProperties>
</file>